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AA" w:rsidRDefault="00EC3EA7" w:rsidP="00EC3E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Diabetes Mellitus: Pathology</w:t>
      </w:r>
    </w:p>
    <w:p w:rsidR="00EC3EA7" w:rsidRDefault="006C731E" w:rsidP="00EC3EA7">
      <w:pPr>
        <w:jc w:val="both"/>
        <w:rPr>
          <w:sz w:val="24"/>
          <w:szCs w:val="24"/>
        </w:rPr>
      </w:pPr>
      <w:r>
        <w:rPr>
          <w:sz w:val="24"/>
          <w:szCs w:val="24"/>
        </w:rPr>
        <w:t>Diabetes Mellitus (DM) is not a single disease entity but rather a group of metabolic disorders sharing the common feature of hyperglycaemia.</w:t>
      </w:r>
    </w:p>
    <w:p w:rsidR="006C731E" w:rsidRDefault="00A845BA" w:rsidP="00EC3EA7">
      <w:pPr>
        <w:jc w:val="both"/>
        <w:rPr>
          <w:sz w:val="24"/>
          <w:szCs w:val="24"/>
        </w:rPr>
      </w:pPr>
      <w:r>
        <w:rPr>
          <w:sz w:val="24"/>
          <w:szCs w:val="24"/>
        </w:rPr>
        <w:t>Normal blood glucose levels range from 70-120mg/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>.</w:t>
      </w:r>
    </w:p>
    <w:p w:rsidR="00A845BA" w:rsidRDefault="00A845BA" w:rsidP="00EC3EA7">
      <w:pPr>
        <w:jc w:val="both"/>
        <w:rPr>
          <w:sz w:val="24"/>
          <w:szCs w:val="24"/>
        </w:rPr>
      </w:pPr>
      <w:r>
        <w:rPr>
          <w:sz w:val="24"/>
          <w:szCs w:val="24"/>
        </w:rPr>
        <w:t>The diagnosis of diabetes is established by noting an elevation of blood glucose by any one of the 3 criteria:</w:t>
      </w:r>
    </w:p>
    <w:p w:rsidR="00A845BA" w:rsidRDefault="00A845BA" w:rsidP="00A845B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random glucose concentration of greater than 200mg/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 with classical signs and symptoms.</w:t>
      </w:r>
    </w:p>
    <w:p w:rsidR="00A845BA" w:rsidRDefault="00A845BA" w:rsidP="00A845B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fasting glucose concentration of greater than 126mg/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 on more than one occasion.</w:t>
      </w:r>
    </w:p>
    <w:p w:rsidR="00A845BA" w:rsidRDefault="00A845BA" w:rsidP="00A845B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 abnormal oral glucose tolerance test in which the glucose concentration is greater than 200mg/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 2 hours after the standard CHO load.</w:t>
      </w:r>
    </w:p>
    <w:p w:rsidR="00791777" w:rsidRPr="00791777" w:rsidRDefault="00791777" w:rsidP="00791777">
      <w:pPr>
        <w:ind w:left="360"/>
        <w:jc w:val="both"/>
        <w:rPr>
          <w:sz w:val="24"/>
          <w:szCs w:val="24"/>
        </w:rPr>
      </w:pPr>
    </w:p>
    <w:p w:rsidR="00A845BA" w:rsidRDefault="00791777" w:rsidP="00A845BA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Classification of DM</w:t>
      </w:r>
    </w:p>
    <w:p w:rsidR="00791777" w:rsidRDefault="00791777" w:rsidP="00A845BA">
      <w:pPr>
        <w:jc w:val="both"/>
        <w:rPr>
          <w:sz w:val="24"/>
          <w:szCs w:val="24"/>
        </w:rPr>
      </w:pPr>
      <w:r>
        <w:rPr>
          <w:sz w:val="24"/>
          <w:szCs w:val="24"/>
        </w:rPr>
        <w:t>The majority of cases fall into 2 particular types:</w:t>
      </w:r>
    </w:p>
    <w:p w:rsidR="00791777" w:rsidRDefault="00791777" w:rsidP="00A845B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Type 1 Diabetes Mellitus (T1DM)</w:t>
      </w:r>
    </w:p>
    <w:p w:rsidR="00791777" w:rsidRDefault="00791777" w:rsidP="00A84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an autoimmune disease characterised by pancreatic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>-cell destruction and an absolute deficiency of insulin. It accounts for 5-10% of all DM cases.</w:t>
      </w:r>
    </w:p>
    <w:p w:rsidR="00791777" w:rsidRDefault="00791777" w:rsidP="00A845B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Type 2 Diabetes Mellitus (T2DM)</w:t>
      </w:r>
    </w:p>
    <w:p w:rsidR="00791777" w:rsidRDefault="00791777" w:rsidP="00A84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caused by a combination of peripheral resistance to insulin action and an inadequate </w:t>
      </w:r>
      <w:proofErr w:type="spellStart"/>
      <w:r>
        <w:rPr>
          <w:sz w:val="24"/>
          <w:szCs w:val="24"/>
        </w:rPr>
        <w:t>secretory</w:t>
      </w:r>
      <w:proofErr w:type="spellEnd"/>
      <w:r>
        <w:rPr>
          <w:sz w:val="24"/>
          <w:szCs w:val="24"/>
        </w:rPr>
        <w:t xml:space="preserve"> response to pancreatic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>-cells. 90-95% of all cases are composed of T2DM.</w:t>
      </w:r>
    </w:p>
    <w:p w:rsidR="00791777" w:rsidRDefault="00791777" w:rsidP="00A845BA">
      <w:pPr>
        <w:jc w:val="both"/>
        <w:rPr>
          <w:sz w:val="24"/>
          <w:szCs w:val="24"/>
        </w:rPr>
      </w:pPr>
    </w:p>
    <w:p w:rsidR="00791777" w:rsidRDefault="00791777" w:rsidP="00A845BA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Glucose Homeostasis</w:t>
      </w:r>
    </w:p>
    <w:p w:rsidR="00791777" w:rsidRDefault="00791777" w:rsidP="00A845BA">
      <w:pPr>
        <w:jc w:val="both"/>
        <w:rPr>
          <w:sz w:val="24"/>
          <w:szCs w:val="24"/>
        </w:rPr>
      </w:pPr>
      <w:r>
        <w:rPr>
          <w:sz w:val="24"/>
          <w:szCs w:val="24"/>
        </w:rPr>
        <w:t>Normal glucose homeostasis is determined by 3 processes:</w:t>
      </w:r>
    </w:p>
    <w:p w:rsidR="00791777" w:rsidRDefault="00791777" w:rsidP="0079177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Glucose production in the liver</w:t>
      </w:r>
    </w:p>
    <w:p w:rsidR="00791777" w:rsidRDefault="00791777" w:rsidP="0079177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Glucose uptake and utilisation by peripheral tissue (skeletal muscle)</w:t>
      </w:r>
    </w:p>
    <w:p w:rsidR="00791777" w:rsidRDefault="00791777" w:rsidP="0079177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Actions of insulin and counter-regulatory hormones including glucagon on glucose uptake and metabolism</w:t>
      </w:r>
    </w:p>
    <w:p w:rsidR="00791777" w:rsidRDefault="008172C6" w:rsidP="00791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Insulin and glucagon have opposing regulatory effects on glucose homeostasis. In fasting states, high glucagon levels but low insulin levels facilitate </w:t>
      </w:r>
      <w:proofErr w:type="spellStart"/>
      <w:r>
        <w:rPr>
          <w:sz w:val="24"/>
          <w:szCs w:val="24"/>
        </w:rPr>
        <w:t>gluconeogenesis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lastRenderedPageBreak/>
        <w:t>glycogenolysis</w:t>
      </w:r>
      <w:proofErr w:type="spellEnd"/>
      <w:r>
        <w:rPr>
          <w:sz w:val="24"/>
          <w:szCs w:val="24"/>
        </w:rPr>
        <w:t>. In meal times, insulin levels rise and glucagon decreases in response to a large dose of glucose.</w:t>
      </w:r>
    </w:p>
    <w:p w:rsidR="008172C6" w:rsidRDefault="008172C6" w:rsidP="00791777">
      <w:pPr>
        <w:jc w:val="both"/>
        <w:rPr>
          <w:sz w:val="24"/>
          <w:szCs w:val="24"/>
        </w:rPr>
      </w:pPr>
      <w:r>
        <w:rPr>
          <w:sz w:val="24"/>
          <w:szCs w:val="24"/>
        </w:rPr>
        <w:t>The skeletal muscle is the major insulin-responsive site for post-</w:t>
      </w:r>
      <w:proofErr w:type="spellStart"/>
      <w:r>
        <w:rPr>
          <w:sz w:val="24"/>
          <w:szCs w:val="24"/>
        </w:rPr>
        <w:t>prandial</w:t>
      </w:r>
      <w:proofErr w:type="spellEnd"/>
      <w:r>
        <w:rPr>
          <w:sz w:val="24"/>
          <w:szCs w:val="24"/>
        </w:rPr>
        <w:t xml:space="preserve"> glucose use and is critical for preventing hyperglycaemia and maintaining glucose homeostasis.</w:t>
      </w:r>
    </w:p>
    <w:p w:rsidR="008172C6" w:rsidRDefault="008172C6" w:rsidP="00791777">
      <w:pPr>
        <w:jc w:val="both"/>
        <w:rPr>
          <w:sz w:val="24"/>
          <w:szCs w:val="24"/>
        </w:rPr>
      </w:pPr>
    </w:p>
    <w:p w:rsidR="008172C6" w:rsidRDefault="008172C6" w:rsidP="0079177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Pathogenesis of T1DM</w:t>
      </w:r>
    </w:p>
    <w:p w:rsidR="008172C6" w:rsidRDefault="008172C6" w:rsidP="00791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T1Dm is an autoimmune disease in which islet destruction is caused by immune </w:t>
      </w:r>
      <w:proofErr w:type="spellStart"/>
      <w:r>
        <w:rPr>
          <w:sz w:val="24"/>
          <w:szCs w:val="24"/>
        </w:rPr>
        <w:t>effector</w:t>
      </w:r>
      <w:proofErr w:type="spellEnd"/>
      <w:r>
        <w:rPr>
          <w:sz w:val="24"/>
          <w:szCs w:val="24"/>
        </w:rPr>
        <w:t xml:space="preserve"> cells reacting against endogenous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>-cell antigens.</w:t>
      </w:r>
    </w:p>
    <w:p w:rsidR="008172C6" w:rsidRDefault="008172C6" w:rsidP="00791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some evidence of genetic susceptibility. Moreover environmental factors such as viral infections may </w:t>
      </w:r>
      <w:proofErr w:type="gramStart"/>
      <w:r>
        <w:rPr>
          <w:sz w:val="24"/>
          <w:szCs w:val="24"/>
        </w:rPr>
        <w:t>involved</w:t>
      </w:r>
      <w:proofErr w:type="gramEnd"/>
      <w:r>
        <w:rPr>
          <w:sz w:val="24"/>
          <w:szCs w:val="24"/>
        </w:rPr>
        <w:t xml:space="preserve"> in triggering islet destruction in T1DM.</w:t>
      </w:r>
    </w:p>
    <w:p w:rsidR="008172C6" w:rsidRDefault="008172C6" w:rsidP="00791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clinical onset of T1DM is often hasty. However, the cell destruction is often progressive with often 90% of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-cells destroyed when the disease presents. The </w:t>
      </w:r>
      <w:proofErr w:type="gramStart"/>
      <w:r>
        <w:rPr>
          <w:sz w:val="24"/>
          <w:szCs w:val="24"/>
        </w:rPr>
        <w:t>fundamental  immune</w:t>
      </w:r>
      <w:proofErr w:type="gramEnd"/>
      <w:r>
        <w:rPr>
          <w:sz w:val="24"/>
          <w:szCs w:val="24"/>
        </w:rPr>
        <w:t xml:space="preserve"> abnormality in T1DM is a failure of self-tolerance in T-cells.</w:t>
      </w:r>
    </w:p>
    <w:p w:rsidR="008172C6" w:rsidRDefault="008172C6" w:rsidP="0079177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Pathogenesis of T2DM</w:t>
      </w:r>
    </w:p>
    <w:p w:rsidR="008172C6" w:rsidRDefault="008172C6" w:rsidP="00791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T2DM is a prototypic </w:t>
      </w:r>
      <w:proofErr w:type="spellStart"/>
      <w:r>
        <w:rPr>
          <w:sz w:val="24"/>
          <w:szCs w:val="24"/>
        </w:rPr>
        <w:t>multifactorial</w:t>
      </w:r>
      <w:proofErr w:type="spellEnd"/>
      <w:r>
        <w:rPr>
          <w:sz w:val="24"/>
          <w:szCs w:val="24"/>
        </w:rPr>
        <w:t xml:space="preserve"> complex disease which incorporates both genetic and environmental factors. Environmental factors include a heavily sedentary lifestyle and obesity.</w:t>
      </w:r>
    </w:p>
    <w:p w:rsidR="008172C6" w:rsidRDefault="008172C6" w:rsidP="00791777">
      <w:pPr>
        <w:jc w:val="both"/>
        <w:rPr>
          <w:sz w:val="24"/>
          <w:szCs w:val="24"/>
        </w:rPr>
      </w:pPr>
      <w:r>
        <w:rPr>
          <w:sz w:val="24"/>
          <w:szCs w:val="24"/>
        </w:rPr>
        <w:t>The 2 metabolic defects that characterise T2DM are:</w:t>
      </w:r>
    </w:p>
    <w:p w:rsidR="008172C6" w:rsidRDefault="008172C6" w:rsidP="008172C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decreased response of peripheral tissues to insulin.</w:t>
      </w:r>
    </w:p>
    <w:p w:rsidR="008172C6" w:rsidRDefault="008172C6" w:rsidP="008172C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>-cell</w:t>
      </w:r>
      <w:proofErr w:type="gramEnd"/>
      <w:r>
        <w:rPr>
          <w:sz w:val="24"/>
          <w:szCs w:val="24"/>
        </w:rPr>
        <w:t xml:space="preserve"> dysfunction that is manifested as inadequate insulin secretion in the face of insulin resistance and hyperglycaemia.</w:t>
      </w:r>
    </w:p>
    <w:p w:rsidR="0091146A" w:rsidRDefault="0091146A" w:rsidP="0091146A">
      <w:pPr>
        <w:jc w:val="both"/>
        <w:rPr>
          <w:sz w:val="24"/>
          <w:szCs w:val="24"/>
        </w:rPr>
      </w:pPr>
    </w:p>
    <w:p w:rsidR="0091146A" w:rsidRDefault="0091146A" w:rsidP="0091146A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Pathogenesis of the Complications of DM</w:t>
      </w:r>
    </w:p>
    <w:p w:rsidR="0091146A" w:rsidRDefault="00BE76F2" w:rsidP="0091146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Formation of Advanced </w:t>
      </w:r>
      <w:proofErr w:type="spellStart"/>
      <w:r>
        <w:rPr>
          <w:sz w:val="24"/>
          <w:szCs w:val="24"/>
          <w:u w:val="single"/>
        </w:rPr>
        <w:t>Glycation</w:t>
      </w:r>
      <w:proofErr w:type="spellEnd"/>
      <w:r>
        <w:rPr>
          <w:sz w:val="24"/>
          <w:szCs w:val="24"/>
          <w:u w:val="single"/>
        </w:rPr>
        <w:t xml:space="preserve"> End (AGE) Products</w:t>
      </w:r>
    </w:p>
    <w:p w:rsidR="00BE76F2" w:rsidRDefault="00BE76F2" w:rsidP="00911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AGEs are formed as a result of </w:t>
      </w:r>
      <w:proofErr w:type="spellStart"/>
      <w:r>
        <w:rPr>
          <w:sz w:val="24"/>
          <w:szCs w:val="24"/>
        </w:rPr>
        <w:t>nonenzymatic</w:t>
      </w:r>
      <w:proofErr w:type="spellEnd"/>
      <w:r>
        <w:rPr>
          <w:sz w:val="24"/>
          <w:szCs w:val="24"/>
        </w:rPr>
        <w:t xml:space="preserve"> reactions between intracellular glucose derived from </w:t>
      </w:r>
      <w:proofErr w:type="spellStart"/>
      <w:r>
        <w:rPr>
          <w:sz w:val="24"/>
          <w:szCs w:val="24"/>
        </w:rPr>
        <w:t>dicarbonyl</w:t>
      </w:r>
      <w:proofErr w:type="spellEnd"/>
      <w:r>
        <w:rPr>
          <w:sz w:val="24"/>
          <w:szCs w:val="24"/>
        </w:rPr>
        <w:t xml:space="preserve"> precursors with amino groups or both intra and extracellular proteins.</w:t>
      </w:r>
    </w:p>
    <w:p w:rsidR="00BE76F2" w:rsidRDefault="00BE76F2" w:rsidP="0091146A">
      <w:pPr>
        <w:jc w:val="both"/>
        <w:rPr>
          <w:sz w:val="24"/>
          <w:szCs w:val="24"/>
        </w:rPr>
      </w:pPr>
      <w:r>
        <w:rPr>
          <w:sz w:val="24"/>
          <w:szCs w:val="24"/>
        </w:rPr>
        <w:t>This may lead to effects of:</w:t>
      </w:r>
    </w:p>
    <w:p w:rsidR="00BE76F2" w:rsidRDefault="00BE76F2" w:rsidP="00BE76F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Release of pro-inflammatory cytokines and growth factors from </w:t>
      </w:r>
      <w:proofErr w:type="spellStart"/>
      <w:r>
        <w:rPr>
          <w:sz w:val="24"/>
          <w:szCs w:val="24"/>
        </w:rPr>
        <w:t>intimal</w:t>
      </w:r>
      <w:proofErr w:type="spellEnd"/>
      <w:r>
        <w:rPr>
          <w:sz w:val="24"/>
          <w:szCs w:val="24"/>
        </w:rPr>
        <w:t xml:space="preserve"> macrophages.</w:t>
      </w:r>
    </w:p>
    <w:p w:rsidR="00BE76F2" w:rsidRDefault="00BE76F2" w:rsidP="00BE76F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Generation of reactive O species.</w:t>
      </w:r>
    </w:p>
    <w:p w:rsidR="00BE76F2" w:rsidRDefault="00BE76F2" w:rsidP="00BE76F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Increased </w:t>
      </w:r>
      <w:proofErr w:type="spellStart"/>
      <w:r>
        <w:rPr>
          <w:sz w:val="24"/>
          <w:szCs w:val="24"/>
        </w:rPr>
        <w:t>procoagulant</w:t>
      </w:r>
      <w:proofErr w:type="spellEnd"/>
      <w:r>
        <w:rPr>
          <w:sz w:val="24"/>
          <w:szCs w:val="24"/>
        </w:rPr>
        <w:t xml:space="preserve"> activity on endothelia cells and macrophages</w:t>
      </w:r>
    </w:p>
    <w:p w:rsidR="00BE76F2" w:rsidRDefault="00BE76F2" w:rsidP="00BE76F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Proliferation of vascular smooth muscle cells and synthesis of extracellular matrix</w:t>
      </w:r>
    </w:p>
    <w:p w:rsidR="00BE76F2" w:rsidRDefault="00BE76F2" w:rsidP="00BE76F2">
      <w:pPr>
        <w:jc w:val="both"/>
        <w:rPr>
          <w:sz w:val="24"/>
          <w:szCs w:val="24"/>
        </w:rPr>
      </w:pPr>
    </w:p>
    <w:p w:rsidR="00BE76F2" w:rsidRDefault="00BE76F2" w:rsidP="00BE76F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Intracellular Hyperglycaemia and Disturbances in </w:t>
      </w:r>
      <w:proofErr w:type="spellStart"/>
      <w:r>
        <w:rPr>
          <w:sz w:val="24"/>
          <w:szCs w:val="24"/>
          <w:u w:val="single"/>
        </w:rPr>
        <w:t>Polyol</w:t>
      </w:r>
      <w:proofErr w:type="spellEnd"/>
      <w:r>
        <w:rPr>
          <w:sz w:val="24"/>
          <w:szCs w:val="24"/>
          <w:u w:val="single"/>
        </w:rPr>
        <w:t xml:space="preserve"> Pathways</w:t>
      </w:r>
    </w:p>
    <w:p w:rsidR="00BE76F2" w:rsidRDefault="00BE76F2" w:rsidP="00BE76F2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 xml:space="preserve">Activation of Protein </w:t>
      </w:r>
      <w:proofErr w:type="spellStart"/>
      <w:r>
        <w:rPr>
          <w:sz w:val="24"/>
          <w:szCs w:val="24"/>
          <w:u w:val="single"/>
        </w:rPr>
        <w:t>Kinase</w:t>
      </w:r>
      <w:proofErr w:type="spellEnd"/>
      <w:r>
        <w:rPr>
          <w:sz w:val="24"/>
          <w:szCs w:val="24"/>
          <w:u w:val="single"/>
        </w:rPr>
        <w:t xml:space="preserve"> C.</w:t>
      </w:r>
      <w:proofErr w:type="gramEnd"/>
    </w:p>
    <w:p w:rsidR="00BE76F2" w:rsidRDefault="00BE76F2" w:rsidP="00BE76F2">
      <w:pPr>
        <w:jc w:val="both"/>
        <w:rPr>
          <w:sz w:val="24"/>
          <w:szCs w:val="24"/>
        </w:rPr>
      </w:pPr>
      <w:r>
        <w:rPr>
          <w:sz w:val="24"/>
          <w:szCs w:val="24"/>
        </w:rPr>
        <w:t>The effects include:</w:t>
      </w:r>
    </w:p>
    <w:p w:rsidR="00BE76F2" w:rsidRDefault="00A05D94" w:rsidP="00BE76F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Production of </w:t>
      </w:r>
      <w:proofErr w:type="spellStart"/>
      <w:r>
        <w:rPr>
          <w:sz w:val="24"/>
          <w:szCs w:val="24"/>
        </w:rPr>
        <w:t>proangiogenic</w:t>
      </w:r>
      <w:proofErr w:type="spellEnd"/>
      <w:r>
        <w:rPr>
          <w:sz w:val="24"/>
          <w:szCs w:val="24"/>
        </w:rPr>
        <w:t xml:space="preserve"> vascular endothelial growth factor (VEGF)</w:t>
      </w:r>
    </w:p>
    <w:p w:rsidR="00A05D94" w:rsidRDefault="00A05D94" w:rsidP="00BE76F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Elevated levels of vasoconstrictor endothelin-1 and decreased levels of vasodilator NO</w:t>
      </w:r>
    </w:p>
    <w:p w:rsidR="00A05D94" w:rsidRDefault="00A05D94" w:rsidP="00BE76F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Production of </w:t>
      </w:r>
      <w:proofErr w:type="spellStart"/>
      <w:r>
        <w:rPr>
          <w:sz w:val="24"/>
          <w:szCs w:val="24"/>
        </w:rPr>
        <w:t>profibrogenic</w:t>
      </w:r>
      <w:proofErr w:type="spellEnd"/>
      <w:r>
        <w:rPr>
          <w:sz w:val="24"/>
          <w:szCs w:val="24"/>
        </w:rPr>
        <w:t xml:space="preserve"> factors like TGF-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 leading to increased deposition of extracellular matrix and basement membrane material</w:t>
      </w:r>
    </w:p>
    <w:p w:rsidR="00A05D94" w:rsidRDefault="00A05D94" w:rsidP="00BE76F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Production of PAI-1 leading to reduced </w:t>
      </w:r>
      <w:proofErr w:type="spellStart"/>
      <w:r>
        <w:rPr>
          <w:sz w:val="24"/>
          <w:szCs w:val="24"/>
        </w:rPr>
        <w:t>fibrinolysis</w:t>
      </w:r>
      <w:proofErr w:type="spellEnd"/>
      <w:r>
        <w:rPr>
          <w:sz w:val="24"/>
          <w:szCs w:val="24"/>
        </w:rPr>
        <w:t xml:space="preserve"> and possible vascular occlusive episodes</w:t>
      </w:r>
    </w:p>
    <w:p w:rsidR="00A05D94" w:rsidRDefault="00A05D94" w:rsidP="00BE76F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Production of pro-inflammatory cytokines by vascular endothelium</w:t>
      </w:r>
    </w:p>
    <w:p w:rsidR="00A05D94" w:rsidRDefault="00A05D94" w:rsidP="00A05D94">
      <w:pPr>
        <w:jc w:val="both"/>
        <w:rPr>
          <w:sz w:val="24"/>
          <w:szCs w:val="24"/>
        </w:rPr>
      </w:pPr>
    </w:p>
    <w:p w:rsidR="00A05D94" w:rsidRDefault="00441DD9" w:rsidP="00A05D94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Clinical </w:t>
      </w:r>
      <w:proofErr w:type="spellStart"/>
      <w:r>
        <w:rPr>
          <w:i/>
          <w:sz w:val="24"/>
          <w:szCs w:val="24"/>
          <w:u w:val="single"/>
        </w:rPr>
        <w:t>Presenation</w:t>
      </w:r>
      <w:proofErr w:type="spellEnd"/>
    </w:p>
    <w:p w:rsidR="00441DD9" w:rsidRDefault="00401859" w:rsidP="0040185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Macrovascular</w:t>
      </w:r>
      <w:proofErr w:type="spellEnd"/>
      <w:r>
        <w:rPr>
          <w:sz w:val="24"/>
          <w:szCs w:val="24"/>
        </w:rPr>
        <w:t xml:space="preserve"> Complications – myocardial infarction, renal vascular insufficiency, </w:t>
      </w:r>
      <w:proofErr w:type="spellStart"/>
      <w:r>
        <w:rPr>
          <w:sz w:val="24"/>
          <w:szCs w:val="24"/>
        </w:rPr>
        <w:t>cerebrovascular</w:t>
      </w:r>
      <w:proofErr w:type="spellEnd"/>
      <w:r>
        <w:rPr>
          <w:sz w:val="24"/>
          <w:szCs w:val="24"/>
        </w:rPr>
        <w:t xml:space="preserve"> accidents.</w:t>
      </w:r>
    </w:p>
    <w:p w:rsidR="00401859" w:rsidRDefault="00401859" w:rsidP="0040185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Diabetic Neuropathy</w:t>
      </w:r>
    </w:p>
    <w:p w:rsidR="00401859" w:rsidRDefault="00401859" w:rsidP="0040185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Visual Impairment</w:t>
      </w:r>
    </w:p>
    <w:p w:rsidR="00401859" w:rsidRDefault="00401859" w:rsidP="0040185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Diabetic Neuropathy</w:t>
      </w:r>
    </w:p>
    <w:p w:rsidR="00401859" w:rsidRDefault="00401859" w:rsidP="0040185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Increased susceptibility of infections of the skin, and to TB, pneumonia and </w:t>
      </w:r>
      <w:proofErr w:type="spellStart"/>
      <w:r>
        <w:rPr>
          <w:sz w:val="24"/>
          <w:szCs w:val="24"/>
        </w:rPr>
        <w:t>pyelonephritis</w:t>
      </w:r>
      <w:proofErr w:type="spellEnd"/>
    </w:p>
    <w:p w:rsidR="00401859" w:rsidRDefault="00D539A2" w:rsidP="00401859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Long Term Complications – Morphology</w:t>
      </w:r>
    </w:p>
    <w:p w:rsidR="00005F2E" w:rsidRPr="00005F2E" w:rsidRDefault="00005F2E" w:rsidP="00005F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proofErr w:type="gramStart"/>
      <w:r w:rsidRPr="00005F2E">
        <w:rPr>
          <w:rFonts w:eastAsia="Times New Roman" w:cstheme="minorHAnsi"/>
          <w:b/>
          <w:bCs/>
          <w:i/>
          <w:iCs/>
          <w:sz w:val="24"/>
          <w:szCs w:val="24"/>
          <w:lang w:eastAsia="en-AU"/>
        </w:rPr>
        <w:t>Pancreas.</w:t>
      </w:r>
      <w:proofErr w:type="gramEnd"/>
      <w:r w:rsidRPr="00005F2E">
        <w:rPr>
          <w:rFonts w:eastAsia="Times New Roman" w:cstheme="minorHAnsi"/>
          <w:sz w:val="24"/>
          <w:szCs w:val="24"/>
          <w:lang w:eastAsia="en-AU"/>
        </w:rPr>
        <w:t xml:space="preserve"> Lesions in the pancreas are inconstant and rarely of diagnostic value. Distinctive changes are more commonly associated with type 1 than with type 2 diabetes. One or more of the following alterations may be present: </w:t>
      </w:r>
    </w:p>
    <w:p w:rsidR="00005F2E" w:rsidRPr="00005F2E" w:rsidRDefault="00005F2E" w:rsidP="00005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005F2E">
        <w:rPr>
          <w:rFonts w:eastAsia="Times New Roman" w:cstheme="minorHAnsi"/>
          <w:b/>
          <w:bCs/>
          <w:sz w:val="24"/>
          <w:szCs w:val="24"/>
          <w:lang w:eastAsia="en-AU"/>
        </w:rPr>
        <w:t>Reduction in the number and size of islets.</w:t>
      </w:r>
      <w:r w:rsidRPr="00005F2E">
        <w:rPr>
          <w:rFonts w:eastAsia="Times New Roman" w:cstheme="minorHAnsi"/>
          <w:sz w:val="24"/>
          <w:szCs w:val="24"/>
          <w:lang w:eastAsia="en-AU"/>
        </w:rPr>
        <w:t xml:space="preserve"> This is most often seen in type 1 diabetes, particularly with rapidly advancing disease. Most of the islets are small and inconspicuous.</w:t>
      </w:r>
    </w:p>
    <w:p w:rsidR="00005F2E" w:rsidRPr="00005F2E" w:rsidRDefault="00005F2E" w:rsidP="00005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proofErr w:type="spellStart"/>
      <w:r w:rsidRPr="00005F2E">
        <w:rPr>
          <w:rFonts w:eastAsia="Times New Roman" w:cstheme="minorHAnsi"/>
          <w:b/>
          <w:bCs/>
          <w:sz w:val="24"/>
          <w:szCs w:val="24"/>
          <w:lang w:eastAsia="en-AU"/>
        </w:rPr>
        <w:t>Leukocytic</w:t>
      </w:r>
      <w:proofErr w:type="spellEnd"/>
      <w:r w:rsidRPr="00005F2E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infiltrates in the islets</w:t>
      </w:r>
      <w:r w:rsidRPr="00005F2E">
        <w:rPr>
          <w:rFonts w:eastAsia="Times New Roman" w:cstheme="minorHAnsi"/>
          <w:sz w:val="24"/>
          <w:szCs w:val="24"/>
          <w:lang w:eastAsia="en-AU"/>
        </w:rPr>
        <w:t xml:space="preserve"> (</w:t>
      </w:r>
      <w:proofErr w:type="spellStart"/>
      <w:r w:rsidRPr="00005F2E">
        <w:rPr>
          <w:rFonts w:eastAsia="Times New Roman" w:cstheme="minorHAnsi"/>
          <w:sz w:val="24"/>
          <w:szCs w:val="24"/>
          <w:lang w:eastAsia="en-AU"/>
        </w:rPr>
        <w:t>insulitis</w:t>
      </w:r>
      <w:proofErr w:type="spellEnd"/>
      <w:r w:rsidRPr="00005F2E">
        <w:rPr>
          <w:rFonts w:eastAsia="Times New Roman" w:cstheme="minorHAnsi"/>
          <w:sz w:val="24"/>
          <w:szCs w:val="24"/>
          <w:lang w:eastAsia="en-AU"/>
        </w:rPr>
        <w:t>) are principally composed of T lymphocytes, as is also seen in animal models of autoimmune diabetes</w:t>
      </w:r>
      <w:r w:rsidR="00012D8B"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Pr="00005F2E">
        <w:rPr>
          <w:rFonts w:eastAsia="Times New Roman" w:cstheme="minorHAnsi"/>
          <w:sz w:val="24"/>
          <w:szCs w:val="24"/>
          <w:lang w:eastAsia="en-AU"/>
        </w:rPr>
        <w:t xml:space="preserve">Lymphocytic infiltrates may be present in type 1 diabetics at the time of clinical presentation. The distribution of </w:t>
      </w:r>
      <w:proofErr w:type="spellStart"/>
      <w:r w:rsidRPr="00005F2E">
        <w:rPr>
          <w:rFonts w:eastAsia="Times New Roman" w:cstheme="minorHAnsi"/>
          <w:sz w:val="24"/>
          <w:szCs w:val="24"/>
          <w:lang w:eastAsia="en-AU"/>
        </w:rPr>
        <w:t>insulitis</w:t>
      </w:r>
      <w:proofErr w:type="spellEnd"/>
      <w:r w:rsidRPr="00005F2E">
        <w:rPr>
          <w:rFonts w:eastAsia="Times New Roman" w:cstheme="minorHAnsi"/>
          <w:sz w:val="24"/>
          <w:szCs w:val="24"/>
          <w:lang w:eastAsia="en-AU"/>
        </w:rPr>
        <w:t xml:space="preserve"> may be strikingly uneven. </w:t>
      </w:r>
      <w:proofErr w:type="spellStart"/>
      <w:r w:rsidRPr="00005F2E">
        <w:rPr>
          <w:rFonts w:eastAsia="Times New Roman" w:cstheme="minorHAnsi"/>
          <w:sz w:val="24"/>
          <w:szCs w:val="24"/>
          <w:lang w:eastAsia="en-AU"/>
        </w:rPr>
        <w:t>Eosinophilic</w:t>
      </w:r>
      <w:proofErr w:type="spellEnd"/>
      <w:r w:rsidRPr="00005F2E">
        <w:rPr>
          <w:rFonts w:eastAsia="Times New Roman" w:cstheme="minorHAnsi"/>
          <w:sz w:val="24"/>
          <w:szCs w:val="24"/>
          <w:lang w:eastAsia="en-AU"/>
        </w:rPr>
        <w:t xml:space="preserve"> infiltrates may also be found, particularly in diabetic infants who fail to survive the immediate postnatal period.</w:t>
      </w:r>
    </w:p>
    <w:p w:rsidR="00005F2E" w:rsidRPr="00005F2E" w:rsidRDefault="00005F2E" w:rsidP="00005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005F2E">
        <w:rPr>
          <w:rFonts w:eastAsia="Times New Roman" w:cstheme="minorHAnsi"/>
          <w:b/>
          <w:bCs/>
          <w:sz w:val="24"/>
          <w:szCs w:val="24"/>
          <w:lang w:eastAsia="en-AU"/>
        </w:rPr>
        <w:lastRenderedPageBreak/>
        <w:t xml:space="preserve">In type </w:t>
      </w:r>
      <w:proofErr w:type="gramStart"/>
      <w:r w:rsidRPr="00005F2E">
        <w:rPr>
          <w:rFonts w:eastAsia="Times New Roman" w:cstheme="minorHAnsi"/>
          <w:b/>
          <w:bCs/>
          <w:sz w:val="24"/>
          <w:szCs w:val="24"/>
          <w:lang w:eastAsia="en-AU"/>
        </w:rPr>
        <w:t>2 diabetes there</w:t>
      </w:r>
      <w:proofErr w:type="gramEnd"/>
      <w:r w:rsidRPr="00005F2E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may be a subtle reduction in islet cell mass,</w:t>
      </w:r>
      <w:r w:rsidRPr="00005F2E">
        <w:rPr>
          <w:rFonts w:eastAsia="Times New Roman" w:cstheme="minorHAnsi"/>
          <w:sz w:val="24"/>
          <w:szCs w:val="24"/>
          <w:lang w:eastAsia="en-AU"/>
        </w:rPr>
        <w:t xml:space="preserve"> demonstrated only by special </w:t>
      </w:r>
      <w:proofErr w:type="spellStart"/>
      <w:r w:rsidRPr="00005F2E">
        <w:rPr>
          <w:rFonts w:eastAsia="Times New Roman" w:cstheme="minorHAnsi"/>
          <w:sz w:val="24"/>
          <w:szCs w:val="24"/>
          <w:lang w:eastAsia="en-AU"/>
        </w:rPr>
        <w:t>morphometric</w:t>
      </w:r>
      <w:proofErr w:type="spellEnd"/>
      <w:r w:rsidRPr="00005F2E">
        <w:rPr>
          <w:rFonts w:eastAsia="Times New Roman" w:cstheme="minorHAnsi"/>
          <w:sz w:val="24"/>
          <w:szCs w:val="24"/>
          <w:lang w:eastAsia="en-AU"/>
        </w:rPr>
        <w:t xml:space="preserve"> studies.</w:t>
      </w:r>
    </w:p>
    <w:p w:rsidR="00005F2E" w:rsidRPr="00005F2E" w:rsidRDefault="00005F2E" w:rsidP="00005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proofErr w:type="spellStart"/>
      <w:r w:rsidRPr="00005F2E">
        <w:rPr>
          <w:rFonts w:eastAsia="Times New Roman" w:cstheme="minorHAnsi"/>
          <w:b/>
          <w:bCs/>
          <w:sz w:val="24"/>
          <w:szCs w:val="24"/>
          <w:lang w:eastAsia="en-AU"/>
        </w:rPr>
        <w:t>Amyloid</w:t>
      </w:r>
      <w:proofErr w:type="spellEnd"/>
      <w:r w:rsidRPr="00005F2E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deposition within islets in type 2 diabetes</w:t>
      </w:r>
      <w:r w:rsidRPr="00005F2E">
        <w:rPr>
          <w:rFonts w:eastAsia="Times New Roman" w:cstheme="minorHAnsi"/>
          <w:sz w:val="24"/>
          <w:szCs w:val="24"/>
          <w:lang w:eastAsia="en-AU"/>
        </w:rPr>
        <w:t xml:space="preserve"> begins in and around capillaries and between cells. At advanced stages, the islets may be virtually obliterated; fibrosis may also be observed. Similar lesions may be found in elderly </w:t>
      </w:r>
      <w:proofErr w:type="spellStart"/>
      <w:r w:rsidRPr="00005F2E">
        <w:rPr>
          <w:rFonts w:eastAsia="Times New Roman" w:cstheme="minorHAnsi"/>
          <w:sz w:val="24"/>
          <w:szCs w:val="24"/>
          <w:lang w:eastAsia="en-AU"/>
        </w:rPr>
        <w:t>nondiabetics</w:t>
      </w:r>
      <w:proofErr w:type="spellEnd"/>
      <w:r w:rsidRPr="00005F2E">
        <w:rPr>
          <w:rFonts w:eastAsia="Times New Roman" w:cstheme="minorHAnsi"/>
          <w:sz w:val="24"/>
          <w:szCs w:val="24"/>
          <w:lang w:eastAsia="en-AU"/>
        </w:rPr>
        <w:t>, apparently as part of normal aging.</w:t>
      </w:r>
    </w:p>
    <w:p w:rsidR="00005F2E" w:rsidRDefault="00005F2E" w:rsidP="00005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005F2E">
        <w:rPr>
          <w:rFonts w:eastAsia="Times New Roman" w:cstheme="minorHAnsi"/>
          <w:b/>
          <w:bCs/>
          <w:sz w:val="24"/>
          <w:szCs w:val="24"/>
          <w:lang w:eastAsia="en-AU"/>
        </w:rPr>
        <w:t>An increase in the number and size of islets</w:t>
      </w:r>
      <w:r w:rsidRPr="00005F2E">
        <w:rPr>
          <w:rFonts w:eastAsia="Times New Roman" w:cstheme="minorHAnsi"/>
          <w:sz w:val="24"/>
          <w:szCs w:val="24"/>
          <w:lang w:eastAsia="en-AU"/>
        </w:rPr>
        <w:t xml:space="preserve"> is especially characteristic of </w:t>
      </w:r>
      <w:proofErr w:type="spellStart"/>
      <w:r w:rsidRPr="00005F2E">
        <w:rPr>
          <w:rFonts w:eastAsia="Times New Roman" w:cstheme="minorHAnsi"/>
          <w:sz w:val="24"/>
          <w:szCs w:val="24"/>
          <w:lang w:eastAsia="en-AU"/>
        </w:rPr>
        <w:t>nondiabetic</w:t>
      </w:r>
      <w:proofErr w:type="spellEnd"/>
      <w:r w:rsidRPr="00005F2E">
        <w:rPr>
          <w:rFonts w:eastAsia="Times New Roman" w:cstheme="minorHAnsi"/>
          <w:sz w:val="24"/>
          <w:szCs w:val="24"/>
          <w:lang w:eastAsia="en-AU"/>
        </w:rPr>
        <w:t xml:space="preserve"> newborns of diabetic mothers. Presumably, </w:t>
      </w:r>
      <w:proofErr w:type="spellStart"/>
      <w:r w:rsidRPr="00005F2E">
        <w:rPr>
          <w:rFonts w:eastAsia="Times New Roman" w:cstheme="minorHAnsi"/>
          <w:sz w:val="24"/>
          <w:szCs w:val="24"/>
          <w:lang w:eastAsia="en-AU"/>
        </w:rPr>
        <w:t>fetal</w:t>
      </w:r>
      <w:proofErr w:type="spellEnd"/>
      <w:r w:rsidRPr="00005F2E">
        <w:rPr>
          <w:rFonts w:eastAsia="Times New Roman" w:cstheme="minorHAnsi"/>
          <w:sz w:val="24"/>
          <w:szCs w:val="24"/>
          <w:lang w:eastAsia="en-AU"/>
        </w:rPr>
        <w:t xml:space="preserve"> islets undergo hyperplasia in response to the maternal </w:t>
      </w:r>
      <w:proofErr w:type="spellStart"/>
      <w:r w:rsidRPr="00005F2E">
        <w:rPr>
          <w:rFonts w:eastAsia="Times New Roman" w:cstheme="minorHAnsi"/>
          <w:sz w:val="24"/>
          <w:szCs w:val="24"/>
          <w:lang w:eastAsia="en-AU"/>
        </w:rPr>
        <w:t>hyperglycemia</w:t>
      </w:r>
      <w:proofErr w:type="spellEnd"/>
      <w:r w:rsidRPr="00005F2E">
        <w:rPr>
          <w:rFonts w:eastAsia="Times New Roman" w:cstheme="minorHAnsi"/>
          <w:sz w:val="24"/>
          <w:szCs w:val="24"/>
          <w:lang w:eastAsia="en-AU"/>
        </w:rPr>
        <w:t>.</w:t>
      </w:r>
    </w:p>
    <w:p w:rsidR="002034D5" w:rsidRPr="00005F2E" w:rsidRDefault="002034D5" w:rsidP="002034D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D539A2" w:rsidRPr="00005F2E" w:rsidRDefault="00D539A2" w:rsidP="00005F2E">
      <w:pPr>
        <w:jc w:val="both"/>
        <w:rPr>
          <w:rFonts w:cstheme="minorHAnsi"/>
          <w:sz w:val="24"/>
          <w:szCs w:val="24"/>
        </w:rPr>
      </w:pPr>
    </w:p>
    <w:p w:rsidR="00EC3EA7" w:rsidRPr="00EC3EA7" w:rsidRDefault="00EC3EA7" w:rsidP="00EC3EA7">
      <w:pPr>
        <w:jc w:val="center"/>
        <w:rPr>
          <w:sz w:val="40"/>
          <w:szCs w:val="40"/>
          <w:u w:val="single"/>
        </w:rPr>
      </w:pPr>
    </w:p>
    <w:sectPr w:rsidR="00EC3EA7" w:rsidRPr="00EC3EA7" w:rsidSect="008D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B7B"/>
    <w:multiLevelType w:val="hybridMultilevel"/>
    <w:tmpl w:val="CFDE2E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70E"/>
    <w:multiLevelType w:val="hybridMultilevel"/>
    <w:tmpl w:val="5900CA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89D"/>
    <w:multiLevelType w:val="hybridMultilevel"/>
    <w:tmpl w:val="29FAA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79A8"/>
    <w:multiLevelType w:val="hybridMultilevel"/>
    <w:tmpl w:val="D780E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62EDB"/>
    <w:multiLevelType w:val="hybridMultilevel"/>
    <w:tmpl w:val="76CA7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2F9A"/>
    <w:multiLevelType w:val="multilevel"/>
    <w:tmpl w:val="E4B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56589"/>
    <w:multiLevelType w:val="hybridMultilevel"/>
    <w:tmpl w:val="F0FA4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EA7"/>
    <w:rsid w:val="00005F2E"/>
    <w:rsid w:val="00012D8B"/>
    <w:rsid w:val="00165D81"/>
    <w:rsid w:val="002034D5"/>
    <w:rsid w:val="00401859"/>
    <w:rsid w:val="00441DD9"/>
    <w:rsid w:val="006C731E"/>
    <w:rsid w:val="00791777"/>
    <w:rsid w:val="008172C6"/>
    <w:rsid w:val="00870B90"/>
    <w:rsid w:val="008D11AA"/>
    <w:rsid w:val="008F3C72"/>
    <w:rsid w:val="0091146A"/>
    <w:rsid w:val="00A05D94"/>
    <w:rsid w:val="00A845BA"/>
    <w:rsid w:val="00BE76F2"/>
    <w:rsid w:val="00D539A2"/>
    <w:rsid w:val="00E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5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Hochuen Ip</dc:creator>
  <cp:lastModifiedBy>Matthew Hochuen Ip</cp:lastModifiedBy>
  <cp:revision>15</cp:revision>
  <dcterms:created xsi:type="dcterms:W3CDTF">2011-07-31T14:36:00Z</dcterms:created>
  <dcterms:modified xsi:type="dcterms:W3CDTF">2012-01-10T08:14:00Z</dcterms:modified>
</cp:coreProperties>
</file>